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A0" w:rsidRPr="00913BB3" w:rsidRDefault="002350EB" w:rsidP="00642657">
      <w:pPr>
        <w:pStyle w:val="DocumentLabel"/>
        <w:jc w:val="left"/>
        <w:rPr>
          <w:rFonts w:ascii="Times New Roman" w:hAnsi="Times New Roman"/>
          <w:caps w:val="0"/>
          <w:smallCaps/>
          <w:sz w:val="32"/>
          <w:szCs w:val="32"/>
        </w:rPr>
      </w:pPr>
      <w:r>
        <w:rPr>
          <w:rFonts w:ascii="Times New Roman" w:hAnsi="Times New Roman"/>
          <w:noProof/>
          <w:sz w:val="24"/>
        </w:rPr>
        <w:drawing>
          <wp:anchor distT="0" distB="0" distL="114300" distR="114300" simplePos="0" relativeHeight="251657728" behindDoc="0" locked="0" layoutInCell="1" allowOverlap="1">
            <wp:simplePos x="0" y="0"/>
            <wp:positionH relativeFrom="column">
              <wp:posOffset>85725</wp:posOffset>
            </wp:positionH>
            <wp:positionV relativeFrom="paragraph">
              <wp:posOffset>-347345</wp:posOffset>
            </wp:positionV>
            <wp:extent cx="1015365" cy="10094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Logo\cclogo300.bm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5365" cy="100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9016A0">
        <w:rPr>
          <w:rFonts w:ascii="Times New Roman" w:hAnsi="Times New Roman"/>
          <w:sz w:val="24"/>
        </w:rPr>
        <w:t xml:space="preserve"> </w:t>
      </w:r>
      <w:r w:rsidR="00642657">
        <w:rPr>
          <w:rFonts w:ascii="Times New Roman" w:hAnsi="Times New Roman"/>
          <w:sz w:val="24"/>
        </w:rPr>
        <w:tab/>
      </w:r>
      <w:r w:rsidR="00642657">
        <w:rPr>
          <w:rFonts w:ascii="Times New Roman" w:hAnsi="Times New Roman"/>
          <w:sz w:val="24"/>
        </w:rPr>
        <w:tab/>
      </w:r>
      <w:r w:rsidR="00642657">
        <w:rPr>
          <w:rFonts w:ascii="Times New Roman" w:hAnsi="Times New Roman"/>
          <w:sz w:val="24"/>
        </w:rPr>
        <w:tab/>
      </w:r>
      <w:r w:rsidR="006B769B" w:rsidRPr="00913BB3">
        <w:rPr>
          <w:rFonts w:ascii="Times New Roman" w:hAnsi="Times New Roman"/>
          <w:sz w:val="24"/>
        </w:rPr>
        <w:t xml:space="preserve">Budget &amp; </w:t>
      </w:r>
      <w:r w:rsidR="006B769B" w:rsidRPr="00913BB3">
        <w:rPr>
          <w:rFonts w:ascii="Times New Roman" w:hAnsi="Times New Roman"/>
          <w:caps w:val="0"/>
          <w:smallCaps/>
          <w:sz w:val="32"/>
          <w:szCs w:val="32"/>
        </w:rPr>
        <w:t>finance</w:t>
      </w:r>
    </w:p>
    <w:p w:rsidR="00AB3780" w:rsidRDefault="00AB3780" w:rsidP="00AB3780">
      <w:pPr>
        <w:pStyle w:val="NoSpacing"/>
      </w:pPr>
    </w:p>
    <w:p w:rsidR="00AB3780" w:rsidRDefault="00AB3780" w:rsidP="00AB3780">
      <w:pPr>
        <w:pStyle w:val="NoSpacing"/>
      </w:pPr>
    </w:p>
    <w:p w:rsidR="002350EB" w:rsidRPr="00493D64" w:rsidRDefault="00AB3780" w:rsidP="00AB3780">
      <w:pPr>
        <w:pStyle w:val="NoSpacing"/>
        <w:rPr>
          <w:rStyle w:val="MessageHeaderLabel"/>
          <w:rFonts w:ascii="Times New Roman" w:hAnsi="Times New Roman"/>
          <w:b w:val="0"/>
          <w:smallCaps/>
          <w:sz w:val="25"/>
          <w:szCs w:val="25"/>
        </w:rPr>
      </w:pPr>
      <w:r w:rsidRPr="00493D64">
        <w:rPr>
          <w:rFonts w:ascii="Times New Roman" w:hAnsi="Times New Roman"/>
          <w:b/>
          <w:smallCaps/>
          <w:sz w:val="25"/>
          <w:szCs w:val="25"/>
        </w:rPr>
        <w:t>Memorandum</w:t>
      </w:r>
    </w:p>
    <w:p w:rsidR="00AB3780" w:rsidRPr="00493D64" w:rsidRDefault="00AB3780" w:rsidP="00913BB3">
      <w:pPr>
        <w:pStyle w:val="MessageHeader"/>
        <w:spacing w:after="0" w:line="240" w:lineRule="auto"/>
        <w:ind w:left="1440" w:hanging="1440"/>
        <w:rPr>
          <w:rStyle w:val="MessageHeaderLabel"/>
          <w:rFonts w:ascii="Times New Roman" w:hAnsi="Times New Roman"/>
          <w:caps w:val="0"/>
          <w:sz w:val="25"/>
          <w:szCs w:val="25"/>
        </w:rPr>
      </w:pPr>
    </w:p>
    <w:p w:rsidR="00AB3780" w:rsidRPr="00493D64" w:rsidRDefault="00B43D7C" w:rsidP="00913BB3">
      <w:pPr>
        <w:pStyle w:val="NoSpacing"/>
        <w:rPr>
          <w:rFonts w:ascii="Times New Roman" w:hAnsi="Times New Roman"/>
          <w:sz w:val="25"/>
          <w:szCs w:val="25"/>
        </w:rPr>
      </w:pPr>
      <w:r w:rsidRPr="00493D64">
        <w:rPr>
          <w:rStyle w:val="MessageHeaderLabel"/>
          <w:rFonts w:ascii="Times New Roman" w:hAnsi="Times New Roman"/>
          <w:sz w:val="25"/>
          <w:szCs w:val="25"/>
        </w:rPr>
        <w:t>To</w:t>
      </w:r>
      <w:r w:rsidR="00AB3780" w:rsidRPr="00493D64">
        <w:rPr>
          <w:rStyle w:val="MessageHeaderLabel"/>
          <w:rFonts w:ascii="Times New Roman" w:hAnsi="Times New Roman"/>
          <w:sz w:val="25"/>
          <w:szCs w:val="25"/>
        </w:rPr>
        <w:t>:</w:t>
      </w:r>
      <w:r w:rsidR="00913BB3" w:rsidRPr="00493D64">
        <w:rPr>
          <w:rFonts w:ascii="Times New Roman" w:hAnsi="Times New Roman"/>
          <w:sz w:val="25"/>
          <w:szCs w:val="25"/>
        </w:rPr>
        <w:t xml:space="preserve">  Department Directors</w:t>
      </w:r>
      <w:r w:rsidR="00AB3780" w:rsidRPr="00493D64">
        <w:rPr>
          <w:rFonts w:ascii="Times New Roman" w:hAnsi="Times New Roman"/>
          <w:sz w:val="25"/>
          <w:szCs w:val="25"/>
        </w:rPr>
        <w:tab/>
      </w:r>
    </w:p>
    <w:p w:rsidR="00493D64" w:rsidRPr="00493D64" w:rsidRDefault="00493D64" w:rsidP="00913BB3">
      <w:pPr>
        <w:pStyle w:val="NoSpacing"/>
        <w:rPr>
          <w:rFonts w:ascii="Times New Roman" w:hAnsi="Times New Roman"/>
          <w:sz w:val="25"/>
          <w:szCs w:val="25"/>
        </w:rPr>
      </w:pPr>
    </w:p>
    <w:p w:rsidR="009016A0" w:rsidRPr="00493D64" w:rsidRDefault="00B43D7C" w:rsidP="00913BB3">
      <w:pPr>
        <w:pStyle w:val="NoSpacing"/>
        <w:rPr>
          <w:rFonts w:ascii="Times New Roman" w:hAnsi="Times New Roman"/>
          <w:sz w:val="25"/>
          <w:szCs w:val="25"/>
        </w:rPr>
      </w:pPr>
      <w:r w:rsidRPr="00493D64">
        <w:rPr>
          <w:rStyle w:val="MessageHeaderLabel"/>
          <w:rFonts w:ascii="Times New Roman" w:hAnsi="Times New Roman"/>
          <w:sz w:val="25"/>
          <w:szCs w:val="25"/>
        </w:rPr>
        <w:t>From</w:t>
      </w:r>
      <w:r w:rsidR="009016A0" w:rsidRPr="00493D64">
        <w:rPr>
          <w:rStyle w:val="MessageHeaderLabel"/>
          <w:rFonts w:ascii="Times New Roman" w:hAnsi="Times New Roman"/>
          <w:smallCaps/>
          <w:sz w:val="25"/>
          <w:szCs w:val="25"/>
        </w:rPr>
        <w:t>:</w:t>
      </w:r>
      <w:r w:rsidR="009016A0" w:rsidRPr="00493D64">
        <w:rPr>
          <w:rFonts w:ascii="Times New Roman" w:hAnsi="Times New Roman"/>
          <w:sz w:val="25"/>
          <w:szCs w:val="25"/>
        </w:rPr>
        <w:tab/>
      </w:r>
      <w:r w:rsidR="00F73472">
        <w:rPr>
          <w:rFonts w:ascii="Times New Roman" w:hAnsi="Times New Roman"/>
          <w:sz w:val="25"/>
          <w:szCs w:val="25"/>
        </w:rPr>
        <w:t>Monica Steele</w:t>
      </w:r>
    </w:p>
    <w:p w:rsidR="00493D64" w:rsidRPr="00493D64" w:rsidRDefault="00493D64" w:rsidP="00913BB3">
      <w:pPr>
        <w:pStyle w:val="NoSpacing"/>
        <w:rPr>
          <w:rFonts w:ascii="Times New Roman" w:hAnsi="Times New Roman"/>
          <w:sz w:val="25"/>
          <w:szCs w:val="25"/>
        </w:rPr>
      </w:pPr>
    </w:p>
    <w:p w:rsidR="00796294" w:rsidRDefault="00B43D7C" w:rsidP="00913BB3">
      <w:pPr>
        <w:pStyle w:val="NoSpacing"/>
        <w:rPr>
          <w:rFonts w:ascii="Times New Roman" w:hAnsi="Times New Roman"/>
          <w:sz w:val="25"/>
          <w:szCs w:val="25"/>
        </w:rPr>
      </w:pPr>
      <w:r w:rsidRPr="00493D64">
        <w:rPr>
          <w:rStyle w:val="MessageHeaderLabel"/>
          <w:rFonts w:ascii="Times New Roman" w:hAnsi="Times New Roman"/>
          <w:sz w:val="25"/>
          <w:szCs w:val="25"/>
        </w:rPr>
        <w:t>Date</w:t>
      </w:r>
      <w:r w:rsidR="009016A0" w:rsidRPr="00493D64">
        <w:rPr>
          <w:rStyle w:val="MessageHeaderLabel"/>
          <w:rFonts w:ascii="Times New Roman" w:hAnsi="Times New Roman"/>
          <w:sz w:val="25"/>
          <w:szCs w:val="25"/>
        </w:rPr>
        <w:t>:</w:t>
      </w:r>
      <w:r w:rsidR="009016A0" w:rsidRPr="00493D64">
        <w:rPr>
          <w:rFonts w:ascii="Times New Roman" w:hAnsi="Times New Roman"/>
          <w:sz w:val="25"/>
          <w:szCs w:val="25"/>
        </w:rPr>
        <w:tab/>
      </w:r>
      <w:r w:rsidR="00C02D57">
        <w:rPr>
          <w:rFonts w:ascii="Times New Roman" w:hAnsi="Times New Roman"/>
          <w:sz w:val="25"/>
          <w:szCs w:val="25"/>
        </w:rPr>
        <w:t xml:space="preserve">January </w:t>
      </w:r>
      <w:r w:rsidR="005168EC">
        <w:rPr>
          <w:rFonts w:ascii="Times New Roman" w:hAnsi="Times New Roman"/>
          <w:sz w:val="25"/>
          <w:szCs w:val="25"/>
        </w:rPr>
        <w:t>23</w:t>
      </w:r>
      <w:bookmarkStart w:id="0" w:name="_GoBack"/>
      <w:bookmarkEnd w:id="0"/>
      <w:r w:rsidR="00C02D57">
        <w:rPr>
          <w:rFonts w:ascii="Times New Roman" w:hAnsi="Times New Roman"/>
          <w:sz w:val="25"/>
          <w:szCs w:val="25"/>
        </w:rPr>
        <w:t>, 202</w:t>
      </w:r>
      <w:r w:rsidR="00A53FB6">
        <w:rPr>
          <w:rFonts w:ascii="Times New Roman" w:hAnsi="Times New Roman"/>
          <w:sz w:val="25"/>
          <w:szCs w:val="25"/>
        </w:rPr>
        <w:t>3</w:t>
      </w:r>
    </w:p>
    <w:p w:rsidR="00796294" w:rsidRDefault="00796294" w:rsidP="00913BB3">
      <w:pPr>
        <w:pStyle w:val="NoSpacing"/>
        <w:rPr>
          <w:rFonts w:ascii="Times New Roman" w:hAnsi="Times New Roman"/>
          <w:sz w:val="25"/>
          <w:szCs w:val="25"/>
        </w:rPr>
      </w:pPr>
    </w:p>
    <w:p w:rsidR="00B43D7C" w:rsidRPr="00493D64" w:rsidRDefault="00796294" w:rsidP="00913BB3">
      <w:pPr>
        <w:pStyle w:val="NoSpacing"/>
        <w:rPr>
          <w:rFonts w:ascii="Times New Roman" w:hAnsi="Times New Roman"/>
          <w:b/>
          <w:sz w:val="25"/>
          <w:szCs w:val="25"/>
        </w:rPr>
      </w:pPr>
      <w:r>
        <w:rPr>
          <w:rFonts w:ascii="Times New Roman" w:hAnsi="Times New Roman"/>
          <w:b/>
          <w:sz w:val="25"/>
          <w:szCs w:val="25"/>
        </w:rPr>
        <w:t>S</w:t>
      </w:r>
      <w:r w:rsidR="00B43D7C" w:rsidRPr="00493D64">
        <w:rPr>
          <w:rFonts w:ascii="Times New Roman" w:hAnsi="Times New Roman"/>
          <w:b/>
          <w:sz w:val="25"/>
          <w:szCs w:val="25"/>
        </w:rPr>
        <w:t>ubject:</w:t>
      </w:r>
      <w:r w:rsidR="00913BB3" w:rsidRPr="00493D64">
        <w:rPr>
          <w:rFonts w:ascii="Times New Roman" w:hAnsi="Times New Roman"/>
          <w:b/>
          <w:sz w:val="25"/>
          <w:szCs w:val="25"/>
        </w:rPr>
        <w:t xml:space="preserve">  Indirect Cost Plan </w:t>
      </w:r>
      <w:r w:rsidR="00A53FB6">
        <w:rPr>
          <w:rFonts w:ascii="Times New Roman" w:hAnsi="Times New Roman"/>
          <w:b/>
          <w:sz w:val="25"/>
          <w:szCs w:val="25"/>
        </w:rPr>
        <w:t>2023-24</w:t>
      </w:r>
    </w:p>
    <w:p w:rsidR="009016A0" w:rsidRPr="00435740" w:rsidRDefault="009016A0" w:rsidP="00AB3780">
      <w:pPr>
        <w:pBdr>
          <w:bottom w:val="single" w:sz="4" w:space="1" w:color="auto"/>
        </w:pBdr>
        <w:rPr>
          <w:rFonts w:ascii="Times New Roman" w:hAnsi="Times New Roman"/>
          <w:sz w:val="21"/>
          <w:szCs w:val="21"/>
        </w:rPr>
      </w:pPr>
    </w:p>
    <w:p w:rsidR="009016A0" w:rsidRPr="00493D64" w:rsidRDefault="009016A0">
      <w:pPr>
        <w:rPr>
          <w:rFonts w:ascii="Times New Roman" w:hAnsi="Times New Roman"/>
          <w:sz w:val="25"/>
          <w:szCs w:val="25"/>
        </w:rPr>
      </w:pPr>
    </w:p>
    <w:p w:rsidR="00913BB3" w:rsidRDefault="00913BB3" w:rsidP="00913BB3">
      <w:pPr>
        <w:pStyle w:val="BlockText"/>
        <w:jc w:val="both"/>
        <w:rPr>
          <w:sz w:val="25"/>
          <w:szCs w:val="25"/>
        </w:rPr>
      </w:pPr>
      <w:r w:rsidRPr="00493D64">
        <w:rPr>
          <w:sz w:val="25"/>
          <w:szCs w:val="25"/>
        </w:rPr>
        <w:t xml:space="preserve">As you look at your indirect costs for the </w:t>
      </w:r>
      <w:r w:rsidR="00A53FB6">
        <w:rPr>
          <w:sz w:val="25"/>
          <w:szCs w:val="25"/>
        </w:rPr>
        <w:t>2023-24</w:t>
      </w:r>
      <w:r w:rsidRPr="00493D64">
        <w:rPr>
          <w:sz w:val="25"/>
          <w:szCs w:val="25"/>
        </w:rPr>
        <w:t xml:space="preserve"> fiscal year, it is important to note that indirect costs are real costs to the County and the allocation of these costs to the funds utilizing these services is a necessary practice to illustrate the true cost of programs.</w:t>
      </w:r>
      <w:r w:rsidR="006A35A8">
        <w:rPr>
          <w:sz w:val="25"/>
          <w:szCs w:val="25"/>
        </w:rPr>
        <w:t xml:space="preserve"> These costs represent the expenses of doing business that are not readily identified with a particular grant, contract, project function or activity, but are necessary for the general operation of the organization and the conduct of activities it performs.</w:t>
      </w:r>
      <w:r w:rsidRPr="00493D64">
        <w:rPr>
          <w:sz w:val="25"/>
          <w:szCs w:val="25"/>
        </w:rPr>
        <w:t xml:space="preserve"> The total program cost is not only important within the County, but </w:t>
      </w:r>
      <w:r w:rsidR="00587C21">
        <w:rPr>
          <w:sz w:val="25"/>
          <w:szCs w:val="25"/>
        </w:rPr>
        <w:t xml:space="preserve">it is </w:t>
      </w:r>
      <w:r w:rsidRPr="00493D64">
        <w:rPr>
          <w:sz w:val="25"/>
          <w:szCs w:val="25"/>
        </w:rPr>
        <w:t>our fiduciary and ethical duty to represent true cost accounting to the public.</w:t>
      </w:r>
    </w:p>
    <w:p w:rsidR="006C548B" w:rsidRDefault="006C548B" w:rsidP="00913BB3">
      <w:pPr>
        <w:pStyle w:val="BlockText"/>
        <w:jc w:val="both"/>
        <w:rPr>
          <w:sz w:val="25"/>
          <w:szCs w:val="25"/>
        </w:rPr>
      </w:pPr>
    </w:p>
    <w:p w:rsidR="00130FC1" w:rsidRDefault="001B5906" w:rsidP="00913BB3">
      <w:pPr>
        <w:pStyle w:val="BlockText"/>
        <w:jc w:val="both"/>
        <w:rPr>
          <w:sz w:val="25"/>
          <w:szCs w:val="25"/>
        </w:rPr>
      </w:pPr>
      <w:r>
        <w:rPr>
          <w:sz w:val="25"/>
          <w:szCs w:val="25"/>
        </w:rPr>
        <w:t>O</w:t>
      </w:r>
      <w:r w:rsidR="00130FC1">
        <w:rPr>
          <w:sz w:val="25"/>
          <w:szCs w:val="25"/>
        </w:rPr>
        <w:t>ver the past five fiscal years the General Fund has recovered the following amount in overhead costs</w:t>
      </w:r>
      <w:r>
        <w:rPr>
          <w:sz w:val="25"/>
          <w:szCs w:val="25"/>
        </w:rPr>
        <w:t xml:space="preserve"> as well as the amount that is being budgete</w:t>
      </w:r>
      <w:r w:rsidR="00DB17BF">
        <w:rPr>
          <w:sz w:val="25"/>
          <w:szCs w:val="25"/>
        </w:rPr>
        <w:t xml:space="preserve">d to recover in the </w:t>
      </w:r>
      <w:r w:rsidR="00A53FB6">
        <w:rPr>
          <w:sz w:val="25"/>
          <w:szCs w:val="25"/>
        </w:rPr>
        <w:t>2023-24</w:t>
      </w:r>
      <w:r>
        <w:rPr>
          <w:sz w:val="25"/>
          <w:szCs w:val="25"/>
        </w:rPr>
        <w:t xml:space="preserve"> FY</w:t>
      </w:r>
      <w:r w:rsidR="00130FC1">
        <w:rPr>
          <w:sz w:val="25"/>
          <w:szCs w:val="25"/>
        </w:rPr>
        <w:t>:</w:t>
      </w:r>
    </w:p>
    <w:p w:rsidR="00733FE4" w:rsidRDefault="00733FE4" w:rsidP="00913BB3">
      <w:pPr>
        <w:pStyle w:val="BlockText"/>
        <w:jc w:val="both"/>
        <w:rPr>
          <w:sz w:val="25"/>
          <w:szCs w:val="25"/>
        </w:rPr>
      </w:pPr>
    </w:p>
    <w:p w:rsidR="00AC410A" w:rsidRDefault="00A95B88" w:rsidP="001B5906">
      <w:pPr>
        <w:pStyle w:val="BlockText"/>
        <w:numPr>
          <w:ilvl w:val="0"/>
          <w:numId w:val="1"/>
        </w:numPr>
        <w:jc w:val="both"/>
        <w:rPr>
          <w:sz w:val="25"/>
          <w:szCs w:val="25"/>
        </w:rPr>
      </w:pPr>
      <w:r>
        <w:rPr>
          <w:sz w:val="25"/>
          <w:szCs w:val="25"/>
        </w:rPr>
        <w:t>$1,1</w:t>
      </w:r>
      <w:r w:rsidR="008863F7">
        <w:rPr>
          <w:sz w:val="25"/>
          <w:szCs w:val="25"/>
        </w:rPr>
        <w:t>0</w:t>
      </w:r>
      <w:r w:rsidR="00A83F15">
        <w:rPr>
          <w:sz w:val="25"/>
          <w:szCs w:val="25"/>
        </w:rPr>
        <w:t>1</w:t>
      </w:r>
      <w:r>
        <w:rPr>
          <w:sz w:val="25"/>
          <w:szCs w:val="25"/>
        </w:rPr>
        <w:t>,</w:t>
      </w:r>
      <w:r w:rsidR="00105229">
        <w:rPr>
          <w:sz w:val="25"/>
          <w:szCs w:val="25"/>
        </w:rPr>
        <w:t>4</w:t>
      </w:r>
      <w:r>
        <w:rPr>
          <w:sz w:val="25"/>
          <w:szCs w:val="25"/>
        </w:rPr>
        <w:t>00 in 201</w:t>
      </w:r>
      <w:r w:rsidR="008863F7">
        <w:rPr>
          <w:sz w:val="25"/>
          <w:szCs w:val="25"/>
        </w:rPr>
        <w:t>9</w:t>
      </w:r>
      <w:r>
        <w:rPr>
          <w:sz w:val="25"/>
          <w:szCs w:val="25"/>
        </w:rPr>
        <w:t>-2020</w:t>
      </w:r>
    </w:p>
    <w:p w:rsidR="008A3E5B" w:rsidRDefault="008A3E5B" w:rsidP="008A3E5B">
      <w:pPr>
        <w:pStyle w:val="BlockText"/>
        <w:numPr>
          <w:ilvl w:val="0"/>
          <w:numId w:val="1"/>
        </w:numPr>
        <w:jc w:val="both"/>
        <w:rPr>
          <w:sz w:val="25"/>
          <w:szCs w:val="25"/>
        </w:rPr>
      </w:pPr>
      <w:r w:rsidRPr="008A3E5B">
        <w:rPr>
          <w:sz w:val="25"/>
          <w:szCs w:val="25"/>
        </w:rPr>
        <w:t>$1,</w:t>
      </w:r>
      <w:r w:rsidR="009176B1">
        <w:rPr>
          <w:sz w:val="25"/>
          <w:szCs w:val="25"/>
        </w:rPr>
        <w:t>174</w:t>
      </w:r>
      <w:r w:rsidR="0073223D">
        <w:rPr>
          <w:sz w:val="25"/>
          <w:szCs w:val="25"/>
        </w:rPr>
        <w:t>,</w:t>
      </w:r>
      <w:r w:rsidR="009176B1">
        <w:rPr>
          <w:sz w:val="25"/>
          <w:szCs w:val="25"/>
        </w:rPr>
        <w:t>900</w:t>
      </w:r>
      <w:r w:rsidRPr="008A3E5B">
        <w:rPr>
          <w:sz w:val="25"/>
          <w:szCs w:val="25"/>
        </w:rPr>
        <w:t xml:space="preserve"> </w:t>
      </w:r>
      <w:r>
        <w:rPr>
          <w:sz w:val="25"/>
          <w:szCs w:val="25"/>
        </w:rPr>
        <w:t>in 2020-2021</w:t>
      </w:r>
    </w:p>
    <w:p w:rsidR="0073223D" w:rsidRDefault="0073223D" w:rsidP="008A3E5B">
      <w:pPr>
        <w:pStyle w:val="BlockText"/>
        <w:numPr>
          <w:ilvl w:val="0"/>
          <w:numId w:val="1"/>
        </w:numPr>
        <w:jc w:val="both"/>
        <w:rPr>
          <w:sz w:val="25"/>
          <w:szCs w:val="25"/>
        </w:rPr>
      </w:pPr>
      <w:r>
        <w:rPr>
          <w:sz w:val="25"/>
          <w:szCs w:val="25"/>
        </w:rPr>
        <w:t>$1,</w:t>
      </w:r>
      <w:r w:rsidR="00C02D57">
        <w:rPr>
          <w:sz w:val="25"/>
          <w:szCs w:val="25"/>
        </w:rPr>
        <w:t>307,700</w:t>
      </w:r>
      <w:r>
        <w:rPr>
          <w:sz w:val="25"/>
          <w:szCs w:val="25"/>
        </w:rPr>
        <w:t xml:space="preserve"> in 2021-2022</w:t>
      </w:r>
    </w:p>
    <w:p w:rsidR="008113E9" w:rsidRDefault="00C02D57" w:rsidP="008A3E5B">
      <w:pPr>
        <w:pStyle w:val="BlockText"/>
        <w:numPr>
          <w:ilvl w:val="0"/>
          <w:numId w:val="1"/>
        </w:numPr>
        <w:jc w:val="both"/>
        <w:rPr>
          <w:sz w:val="25"/>
          <w:szCs w:val="25"/>
        </w:rPr>
      </w:pPr>
      <w:r w:rsidRPr="00C02D57">
        <w:rPr>
          <w:sz w:val="25"/>
          <w:szCs w:val="25"/>
        </w:rPr>
        <w:t>$1,460,400</w:t>
      </w:r>
      <w:r w:rsidR="008113E9">
        <w:rPr>
          <w:sz w:val="25"/>
          <w:szCs w:val="25"/>
        </w:rPr>
        <w:t xml:space="preserve"> </w:t>
      </w:r>
      <w:r>
        <w:rPr>
          <w:sz w:val="25"/>
          <w:szCs w:val="25"/>
        </w:rPr>
        <w:t>i</w:t>
      </w:r>
      <w:r w:rsidR="008113E9">
        <w:rPr>
          <w:sz w:val="25"/>
          <w:szCs w:val="25"/>
        </w:rPr>
        <w:t>n 2022-2023</w:t>
      </w:r>
    </w:p>
    <w:p w:rsidR="00A53FB6" w:rsidRDefault="006C548B" w:rsidP="008A3E5B">
      <w:pPr>
        <w:pStyle w:val="BlockText"/>
        <w:numPr>
          <w:ilvl w:val="0"/>
          <w:numId w:val="1"/>
        </w:numPr>
        <w:jc w:val="both"/>
        <w:rPr>
          <w:sz w:val="25"/>
          <w:szCs w:val="25"/>
        </w:rPr>
      </w:pPr>
      <w:r w:rsidRPr="006C548B">
        <w:rPr>
          <w:sz w:val="25"/>
          <w:szCs w:val="25"/>
        </w:rPr>
        <w:t>$1,678,900</w:t>
      </w:r>
      <w:r w:rsidR="00A53FB6" w:rsidRPr="006C548B">
        <w:rPr>
          <w:sz w:val="25"/>
          <w:szCs w:val="25"/>
        </w:rPr>
        <w:t xml:space="preserve"> in</w:t>
      </w:r>
      <w:r w:rsidR="00A53FB6">
        <w:rPr>
          <w:sz w:val="25"/>
          <w:szCs w:val="25"/>
        </w:rPr>
        <w:t xml:space="preserve"> 2023-2024</w:t>
      </w:r>
    </w:p>
    <w:p w:rsidR="00913BB3" w:rsidRPr="00493D64" w:rsidRDefault="00913BB3" w:rsidP="00913BB3">
      <w:pPr>
        <w:pStyle w:val="BlockText"/>
        <w:jc w:val="both"/>
        <w:rPr>
          <w:sz w:val="25"/>
          <w:szCs w:val="25"/>
        </w:rPr>
      </w:pPr>
    </w:p>
    <w:p w:rsidR="00913BB3" w:rsidRDefault="00913BB3" w:rsidP="00913BB3">
      <w:pPr>
        <w:pStyle w:val="BlockText"/>
        <w:jc w:val="both"/>
        <w:rPr>
          <w:sz w:val="25"/>
          <w:szCs w:val="25"/>
        </w:rPr>
      </w:pPr>
      <w:r w:rsidRPr="00493D64">
        <w:rPr>
          <w:sz w:val="25"/>
          <w:szCs w:val="25"/>
        </w:rPr>
        <w:t xml:space="preserve">The County’s indirect cost plan includes the amounts to be budgeted in your </w:t>
      </w:r>
      <w:r w:rsidR="00A53FB6">
        <w:rPr>
          <w:sz w:val="25"/>
          <w:szCs w:val="25"/>
        </w:rPr>
        <w:t>2023-24</w:t>
      </w:r>
      <w:r w:rsidRPr="00493D64">
        <w:rPr>
          <w:sz w:val="25"/>
          <w:szCs w:val="25"/>
        </w:rPr>
        <w:t xml:space="preserve"> budgets. Each indirect cost packet comes with the allocation plan comparison and allocation unit comparison, table of contents, summary of total costs per department, and the cost plan detail. The cost plan uses the term “Central Service” department to refer to the County’s overhead departments and the term “Grantee Department” to refer to the receiving departments.  The County’s cost plan has 11 central service departments; Equipment Use Charge, Board of Commissioners, County Administrator, Employee Relations, County Counsel, Public Information Officer, Finance &amp; Treasury, Information Systems, </w:t>
      </w:r>
      <w:r w:rsidRPr="00493D64">
        <w:rPr>
          <w:sz w:val="25"/>
          <w:szCs w:val="25"/>
        </w:rPr>
        <w:lastRenderedPageBreak/>
        <w:t xml:space="preserve">Records, Building &amp; Grounds and Miscellaneous.  All other departments are referred to as “Grantee Departments”.  Below is a detailed list of items included in the packet.  </w:t>
      </w:r>
    </w:p>
    <w:p w:rsidR="00B17559" w:rsidRDefault="00B17559" w:rsidP="00913BB3">
      <w:pPr>
        <w:pStyle w:val="BlockText"/>
        <w:jc w:val="both"/>
        <w:rPr>
          <w:sz w:val="25"/>
          <w:szCs w:val="25"/>
        </w:rPr>
      </w:pPr>
    </w:p>
    <w:p w:rsidR="00D423A6" w:rsidRPr="00493D64" w:rsidRDefault="00D423A6" w:rsidP="00D423A6">
      <w:pPr>
        <w:ind w:left="-540" w:right="-540"/>
        <w:jc w:val="both"/>
        <w:rPr>
          <w:rFonts w:ascii="Times New Roman" w:hAnsi="Times New Roman"/>
          <w:sz w:val="25"/>
          <w:szCs w:val="25"/>
        </w:rPr>
      </w:pPr>
      <w:r w:rsidRPr="00493D64">
        <w:rPr>
          <w:rFonts w:ascii="Times New Roman" w:hAnsi="Times New Roman"/>
          <w:b/>
          <w:bCs/>
          <w:sz w:val="25"/>
          <w:szCs w:val="25"/>
          <w:u w:val="single"/>
        </w:rPr>
        <w:t>Table of Contents</w:t>
      </w:r>
      <w:r w:rsidRPr="00493D64">
        <w:rPr>
          <w:rFonts w:ascii="Times New Roman" w:hAnsi="Times New Roman"/>
          <w:sz w:val="25"/>
          <w:szCs w:val="25"/>
        </w:rPr>
        <w:t>: Lists the different sections of the cost plan summary and detail pages.</w:t>
      </w:r>
    </w:p>
    <w:p w:rsidR="00D423A6" w:rsidRDefault="00D423A6" w:rsidP="00913BB3">
      <w:pPr>
        <w:ind w:left="-540" w:right="-540"/>
        <w:jc w:val="both"/>
        <w:rPr>
          <w:rFonts w:ascii="Times New Roman" w:hAnsi="Times New Roman"/>
          <w:b/>
          <w:bCs/>
          <w:sz w:val="25"/>
          <w:szCs w:val="25"/>
          <w:u w:val="single"/>
        </w:rPr>
      </w:pPr>
    </w:p>
    <w:p w:rsidR="00913BB3" w:rsidRPr="00493D64" w:rsidRDefault="00913BB3" w:rsidP="00913BB3">
      <w:pPr>
        <w:ind w:left="-540" w:right="-540"/>
        <w:jc w:val="both"/>
        <w:rPr>
          <w:rFonts w:ascii="Times New Roman" w:hAnsi="Times New Roman"/>
          <w:sz w:val="25"/>
          <w:szCs w:val="25"/>
        </w:rPr>
      </w:pPr>
      <w:r w:rsidRPr="00493D64">
        <w:rPr>
          <w:rFonts w:ascii="Times New Roman" w:hAnsi="Times New Roman"/>
          <w:b/>
          <w:bCs/>
          <w:sz w:val="25"/>
          <w:szCs w:val="25"/>
          <w:u w:val="single"/>
        </w:rPr>
        <w:t>Allocation Plan Comparison</w:t>
      </w:r>
      <w:r w:rsidR="009426FA">
        <w:rPr>
          <w:rFonts w:ascii="Times New Roman" w:hAnsi="Times New Roman"/>
          <w:sz w:val="25"/>
          <w:szCs w:val="25"/>
        </w:rPr>
        <w:t xml:space="preserve">: Details out the </w:t>
      </w:r>
      <w:r w:rsidR="008113E9">
        <w:rPr>
          <w:rFonts w:ascii="Times New Roman" w:hAnsi="Times New Roman"/>
          <w:sz w:val="25"/>
          <w:szCs w:val="25"/>
        </w:rPr>
        <w:t>2022-23</w:t>
      </w:r>
      <w:r w:rsidRPr="00493D64">
        <w:rPr>
          <w:rFonts w:ascii="Times New Roman" w:hAnsi="Times New Roman"/>
          <w:sz w:val="25"/>
          <w:szCs w:val="25"/>
        </w:rPr>
        <w:t xml:space="preserve"> indirect cost amounts per department and compares them to the prior year amounts.  </w:t>
      </w:r>
      <w:r w:rsidR="00B17559">
        <w:rPr>
          <w:rFonts w:ascii="Times New Roman" w:hAnsi="Times New Roman"/>
          <w:sz w:val="25"/>
          <w:szCs w:val="25"/>
        </w:rPr>
        <w:t>In addition to the Plan C</w:t>
      </w:r>
      <w:r w:rsidRPr="00493D64">
        <w:rPr>
          <w:rFonts w:ascii="Times New Roman" w:hAnsi="Times New Roman"/>
          <w:sz w:val="25"/>
          <w:szCs w:val="25"/>
        </w:rPr>
        <w:t xml:space="preserve">omparison </w:t>
      </w:r>
      <w:r w:rsidR="00B17559">
        <w:rPr>
          <w:rFonts w:ascii="Times New Roman" w:hAnsi="Times New Roman"/>
          <w:sz w:val="25"/>
          <w:szCs w:val="25"/>
        </w:rPr>
        <w:t xml:space="preserve">of Detailed Allocated Costs which is a </w:t>
      </w:r>
      <w:r w:rsidRPr="00493D64">
        <w:rPr>
          <w:rFonts w:ascii="Times New Roman" w:hAnsi="Times New Roman"/>
          <w:sz w:val="25"/>
          <w:szCs w:val="25"/>
        </w:rPr>
        <w:t>report that does a two-year comparison based on central service department allocation units per department</w:t>
      </w:r>
      <w:r w:rsidR="00B17559">
        <w:rPr>
          <w:rFonts w:ascii="Times New Roman" w:hAnsi="Times New Roman"/>
          <w:sz w:val="25"/>
          <w:szCs w:val="25"/>
        </w:rPr>
        <w:t xml:space="preserve">.  </w:t>
      </w:r>
      <w:r w:rsidRPr="00493D64">
        <w:rPr>
          <w:rFonts w:ascii="Times New Roman" w:hAnsi="Times New Roman"/>
          <w:sz w:val="25"/>
          <w:szCs w:val="25"/>
        </w:rPr>
        <w:t>This report is helpful when analyzing why your department</w:t>
      </w:r>
      <w:r w:rsidR="00587C21">
        <w:rPr>
          <w:rFonts w:ascii="Times New Roman" w:hAnsi="Times New Roman"/>
          <w:sz w:val="25"/>
          <w:szCs w:val="25"/>
        </w:rPr>
        <w:t>’s</w:t>
      </w:r>
      <w:r w:rsidRPr="00493D64">
        <w:rPr>
          <w:rFonts w:ascii="Times New Roman" w:hAnsi="Times New Roman"/>
          <w:sz w:val="25"/>
          <w:szCs w:val="25"/>
        </w:rPr>
        <w:t xml:space="preserve"> indirect cost</w:t>
      </w:r>
      <w:r w:rsidR="00587C21">
        <w:rPr>
          <w:rFonts w:ascii="Times New Roman" w:hAnsi="Times New Roman"/>
          <w:sz w:val="25"/>
          <w:szCs w:val="25"/>
        </w:rPr>
        <w:t>s</w:t>
      </w:r>
      <w:r w:rsidRPr="00493D64">
        <w:rPr>
          <w:rFonts w:ascii="Times New Roman" w:hAnsi="Times New Roman"/>
          <w:sz w:val="25"/>
          <w:szCs w:val="25"/>
        </w:rPr>
        <w:t xml:space="preserve"> increased or decreased.  </w:t>
      </w:r>
    </w:p>
    <w:p w:rsidR="00913BB3" w:rsidRPr="00493D64" w:rsidRDefault="00913BB3" w:rsidP="00913BB3">
      <w:pPr>
        <w:ind w:left="-540" w:right="-540" w:firstLine="720"/>
        <w:jc w:val="both"/>
        <w:rPr>
          <w:rFonts w:ascii="Times New Roman" w:hAnsi="Times New Roman"/>
          <w:sz w:val="25"/>
          <w:szCs w:val="25"/>
        </w:rPr>
      </w:pPr>
    </w:p>
    <w:p w:rsidR="00913BB3" w:rsidRPr="00493D64" w:rsidRDefault="00913BB3" w:rsidP="00913BB3">
      <w:pPr>
        <w:ind w:left="-540" w:right="-540"/>
        <w:jc w:val="both"/>
        <w:rPr>
          <w:rFonts w:ascii="Times New Roman" w:hAnsi="Times New Roman"/>
          <w:sz w:val="25"/>
          <w:szCs w:val="25"/>
        </w:rPr>
      </w:pPr>
      <w:r w:rsidRPr="00493D64">
        <w:rPr>
          <w:rFonts w:ascii="Times New Roman" w:hAnsi="Times New Roman"/>
          <w:b/>
          <w:bCs/>
          <w:sz w:val="25"/>
          <w:szCs w:val="25"/>
          <w:u w:val="single"/>
        </w:rPr>
        <w:t xml:space="preserve">Allocated Costs </w:t>
      </w:r>
      <w:proofErr w:type="gramStart"/>
      <w:r w:rsidRPr="00493D64">
        <w:rPr>
          <w:rFonts w:ascii="Times New Roman" w:hAnsi="Times New Roman"/>
          <w:b/>
          <w:bCs/>
          <w:sz w:val="25"/>
          <w:szCs w:val="25"/>
          <w:u w:val="single"/>
        </w:rPr>
        <w:t>By</w:t>
      </w:r>
      <w:proofErr w:type="gramEnd"/>
      <w:r w:rsidRPr="00493D64">
        <w:rPr>
          <w:rFonts w:ascii="Times New Roman" w:hAnsi="Times New Roman"/>
          <w:b/>
          <w:bCs/>
          <w:sz w:val="25"/>
          <w:szCs w:val="25"/>
          <w:u w:val="single"/>
        </w:rPr>
        <w:t xml:space="preserve"> Department:</w:t>
      </w:r>
      <w:r w:rsidRPr="00493D64">
        <w:rPr>
          <w:rFonts w:ascii="Times New Roman" w:hAnsi="Times New Roman"/>
          <w:sz w:val="25"/>
          <w:szCs w:val="25"/>
        </w:rPr>
        <w:t xml:space="preserve">  Shows each org. unit with the amount of allocated expenses per service department. Gives a total cost per org. unit that matches your Allocation Plan Comparison.</w:t>
      </w:r>
    </w:p>
    <w:p w:rsidR="00913BB3" w:rsidRPr="00493D64" w:rsidRDefault="00913BB3" w:rsidP="00913BB3">
      <w:pPr>
        <w:ind w:left="-540" w:right="-540"/>
        <w:jc w:val="both"/>
        <w:rPr>
          <w:rFonts w:ascii="Times New Roman" w:hAnsi="Times New Roman"/>
          <w:sz w:val="25"/>
          <w:szCs w:val="25"/>
        </w:rPr>
      </w:pPr>
    </w:p>
    <w:p w:rsidR="00913BB3" w:rsidRDefault="00BC359D" w:rsidP="00913BB3">
      <w:pPr>
        <w:ind w:left="-540" w:right="-540"/>
        <w:jc w:val="both"/>
        <w:rPr>
          <w:rFonts w:ascii="Times New Roman" w:hAnsi="Times New Roman"/>
          <w:sz w:val="25"/>
          <w:szCs w:val="25"/>
        </w:rPr>
      </w:pPr>
      <w:r>
        <w:rPr>
          <w:rFonts w:ascii="Times New Roman" w:hAnsi="Times New Roman"/>
          <w:b/>
          <w:bCs/>
          <w:sz w:val="25"/>
          <w:szCs w:val="25"/>
          <w:u w:val="single"/>
        </w:rPr>
        <w:t xml:space="preserve">Summary of Allocated </w:t>
      </w:r>
      <w:r w:rsidR="00913BB3" w:rsidRPr="00493D64">
        <w:rPr>
          <w:rFonts w:ascii="Times New Roman" w:hAnsi="Times New Roman"/>
          <w:b/>
          <w:bCs/>
          <w:sz w:val="25"/>
          <w:szCs w:val="25"/>
          <w:u w:val="single"/>
        </w:rPr>
        <w:t>Costs:</w:t>
      </w:r>
      <w:r w:rsidR="00913BB3" w:rsidRPr="00493D64">
        <w:rPr>
          <w:rFonts w:ascii="Times New Roman" w:hAnsi="Times New Roman"/>
          <w:sz w:val="25"/>
          <w:szCs w:val="25"/>
        </w:rPr>
        <w:t xml:space="preserve">  Displays the expenditures for each central service department and for each grantee the allocations made to it.  </w:t>
      </w:r>
    </w:p>
    <w:p w:rsidR="00BC359D" w:rsidRDefault="00BC359D" w:rsidP="00913BB3">
      <w:pPr>
        <w:ind w:left="-540" w:right="-540"/>
        <w:jc w:val="both"/>
        <w:rPr>
          <w:rFonts w:ascii="Times New Roman" w:hAnsi="Times New Roman"/>
          <w:sz w:val="25"/>
          <w:szCs w:val="25"/>
        </w:rPr>
      </w:pPr>
    </w:p>
    <w:p w:rsidR="00BC359D" w:rsidRDefault="00BC359D" w:rsidP="00913BB3">
      <w:pPr>
        <w:ind w:left="-540" w:right="-540"/>
        <w:jc w:val="both"/>
        <w:rPr>
          <w:rFonts w:ascii="Times New Roman" w:hAnsi="Times New Roman"/>
          <w:sz w:val="25"/>
          <w:szCs w:val="25"/>
        </w:rPr>
      </w:pPr>
      <w:r>
        <w:rPr>
          <w:rFonts w:ascii="Times New Roman" w:hAnsi="Times New Roman"/>
          <w:b/>
          <w:sz w:val="25"/>
          <w:szCs w:val="25"/>
          <w:u w:val="single"/>
        </w:rPr>
        <w:t>Summary of Allocation Basis:</w:t>
      </w:r>
      <w:r>
        <w:rPr>
          <w:rFonts w:ascii="Times New Roman" w:hAnsi="Times New Roman"/>
          <w:sz w:val="25"/>
          <w:szCs w:val="25"/>
        </w:rPr>
        <w:t xml:space="preserve">  </w:t>
      </w:r>
      <w:r w:rsidR="00787568">
        <w:rPr>
          <w:rFonts w:ascii="Times New Roman" w:hAnsi="Times New Roman"/>
          <w:sz w:val="25"/>
          <w:szCs w:val="25"/>
        </w:rPr>
        <w:t>Lists all of the allocation basis used in the plan.</w:t>
      </w:r>
    </w:p>
    <w:p w:rsidR="00787568" w:rsidRDefault="00787568" w:rsidP="00913BB3">
      <w:pPr>
        <w:ind w:left="-540" w:right="-540"/>
        <w:jc w:val="both"/>
        <w:rPr>
          <w:rFonts w:ascii="Times New Roman" w:hAnsi="Times New Roman"/>
          <w:sz w:val="25"/>
          <w:szCs w:val="25"/>
        </w:rPr>
      </w:pPr>
    </w:p>
    <w:p w:rsidR="003F2019" w:rsidRDefault="00787568" w:rsidP="00913BB3">
      <w:pPr>
        <w:ind w:left="-540" w:right="-540"/>
        <w:jc w:val="both"/>
        <w:rPr>
          <w:rFonts w:ascii="Times New Roman" w:hAnsi="Times New Roman"/>
          <w:sz w:val="25"/>
          <w:szCs w:val="25"/>
        </w:rPr>
      </w:pPr>
      <w:r>
        <w:rPr>
          <w:rFonts w:ascii="Times New Roman" w:hAnsi="Times New Roman"/>
          <w:b/>
          <w:sz w:val="25"/>
          <w:szCs w:val="25"/>
          <w:u w:val="single"/>
        </w:rPr>
        <w:t>Costs to be Allocated:</w:t>
      </w:r>
      <w:r>
        <w:rPr>
          <w:rFonts w:ascii="Times New Roman" w:hAnsi="Times New Roman"/>
          <w:sz w:val="25"/>
          <w:szCs w:val="25"/>
        </w:rPr>
        <w:t xml:space="preserve">  Summary of costs to be allocated for </w:t>
      </w:r>
      <w:r w:rsidR="003F2019">
        <w:rPr>
          <w:rFonts w:ascii="Times New Roman" w:hAnsi="Times New Roman"/>
          <w:sz w:val="25"/>
          <w:szCs w:val="25"/>
        </w:rPr>
        <w:t xml:space="preserve">each central service department.  </w:t>
      </w:r>
    </w:p>
    <w:p w:rsidR="00130FC1" w:rsidRDefault="00130FC1" w:rsidP="00913BB3">
      <w:pPr>
        <w:ind w:left="-540" w:right="-540"/>
        <w:jc w:val="both"/>
        <w:rPr>
          <w:rFonts w:ascii="Times New Roman" w:hAnsi="Times New Roman"/>
          <w:sz w:val="25"/>
          <w:szCs w:val="25"/>
        </w:rPr>
      </w:pPr>
    </w:p>
    <w:p w:rsidR="00913BB3" w:rsidRPr="00493D64" w:rsidRDefault="003F2019" w:rsidP="00B75283">
      <w:pPr>
        <w:ind w:left="-540" w:right="-540"/>
        <w:jc w:val="both"/>
        <w:rPr>
          <w:rFonts w:ascii="Times New Roman" w:hAnsi="Times New Roman"/>
          <w:sz w:val="25"/>
          <w:szCs w:val="25"/>
        </w:rPr>
      </w:pPr>
      <w:r>
        <w:rPr>
          <w:rFonts w:ascii="Times New Roman" w:hAnsi="Times New Roman"/>
          <w:b/>
          <w:sz w:val="25"/>
          <w:szCs w:val="25"/>
          <w:u w:val="single"/>
        </w:rPr>
        <w:t>Costs Allocated by Activity:</w:t>
      </w:r>
      <w:r w:rsidR="00D77789">
        <w:rPr>
          <w:rFonts w:ascii="Times New Roman" w:hAnsi="Times New Roman"/>
          <w:sz w:val="25"/>
          <w:szCs w:val="25"/>
        </w:rPr>
        <w:t xml:space="preserve">  This report provides greater detail than</w:t>
      </w:r>
      <w:r>
        <w:rPr>
          <w:rFonts w:ascii="Times New Roman" w:hAnsi="Times New Roman"/>
          <w:sz w:val="25"/>
          <w:szCs w:val="25"/>
        </w:rPr>
        <w:t xml:space="preserve"> the “costs to be allocated”</w:t>
      </w:r>
      <w:r w:rsidR="00D77789">
        <w:rPr>
          <w:rFonts w:ascii="Times New Roman" w:hAnsi="Times New Roman"/>
          <w:sz w:val="25"/>
          <w:szCs w:val="25"/>
        </w:rPr>
        <w:t xml:space="preserve"> report   by</w:t>
      </w:r>
      <w:r>
        <w:rPr>
          <w:rFonts w:ascii="Times New Roman" w:hAnsi="Times New Roman"/>
          <w:sz w:val="25"/>
          <w:szCs w:val="25"/>
        </w:rPr>
        <w:t xml:space="preserve"> break</w:t>
      </w:r>
      <w:r w:rsidR="00D77789">
        <w:rPr>
          <w:rFonts w:ascii="Times New Roman" w:hAnsi="Times New Roman"/>
          <w:sz w:val="25"/>
          <w:szCs w:val="25"/>
        </w:rPr>
        <w:t xml:space="preserve">ing </w:t>
      </w:r>
      <w:r>
        <w:rPr>
          <w:rFonts w:ascii="Times New Roman" w:hAnsi="Times New Roman"/>
          <w:sz w:val="25"/>
          <w:szCs w:val="25"/>
        </w:rPr>
        <w:t>the expenses</w:t>
      </w:r>
      <w:r w:rsidR="00D77789">
        <w:rPr>
          <w:rFonts w:ascii="Times New Roman" w:hAnsi="Times New Roman"/>
          <w:sz w:val="25"/>
          <w:szCs w:val="25"/>
        </w:rPr>
        <w:t xml:space="preserve"> out</w:t>
      </w:r>
      <w:r>
        <w:rPr>
          <w:rFonts w:ascii="Times New Roman" w:hAnsi="Times New Roman"/>
          <w:sz w:val="25"/>
          <w:szCs w:val="25"/>
        </w:rPr>
        <w:t xml:space="preserve"> into functions and show</w:t>
      </w:r>
      <w:r w:rsidR="00D77789">
        <w:rPr>
          <w:rFonts w:ascii="Times New Roman" w:hAnsi="Times New Roman"/>
          <w:sz w:val="25"/>
          <w:szCs w:val="25"/>
        </w:rPr>
        <w:t>ing</w:t>
      </w:r>
      <w:r>
        <w:rPr>
          <w:rFonts w:ascii="Times New Roman" w:hAnsi="Times New Roman"/>
          <w:sz w:val="25"/>
          <w:szCs w:val="25"/>
        </w:rPr>
        <w:t xml:space="preserve"> how much</w:t>
      </w:r>
      <w:r w:rsidR="00D77789">
        <w:rPr>
          <w:rFonts w:ascii="Times New Roman" w:hAnsi="Times New Roman"/>
          <w:sz w:val="25"/>
          <w:szCs w:val="25"/>
        </w:rPr>
        <w:t xml:space="preserve"> each function will allocate</w:t>
      </w:r>
      <w:r>
        <w:rPr>
          <w:rFonts w:ascii="Times New Roman" w:hAnsi="Times New Roman"/>
          <w:sz w:val="25"/>
          <w:szCs w:val="25"/>
        </w:rPr>
        <w:t>.</w:t>
      </w:r>
      <w:r w:rsidR="00B75283">
        <w:rPr>
          <w:rFonts w:ascii="Times New Roman" w:hAnsi="Times New Roman"/>
          <w:sz w:val="25"/>
          <w:szCs w:val="25"/>
        </w:rPr>
        <w:t xml:space="preserve">  </w:t>
      </w:r>
      <w:r w:rsidR="00D77789">
        <w:rPr>
          <w:rFonts w:ascii="Times New Roman" w:hAnsi="Times New Roman"/>
          <w:sz w:val="25"/>
          <w:szCs w:val="25"/>
        </w:rPr>
        <w:t>The report also d</w:t>
      </w:r>
      <w:r w:rsidR="001E0881">
        <w:rPr>
          <w:rFonts w:ascii="Times New Roman" w:hAnsi="Times New Roman"/>
          <w:sz w:val="25"/>
          <w:szCs w:val="25"/>
        </w:rPr>
        <w:t>isplays how each central s</w:t>
      </w:r>
      <w:r w:rsidR="00913BB3" w:rsidRPr="00493D64">
        <w:rPr>
          <w:rFonts w:ascii="Times New Roman" w:hAnsi="Times New Roman"/>
          <w:sz w:val="25"/>
          <w:szCs w:val="25"/>
        </w:rPr>
        <w:t>ervice department allocated its costs, both direct and incoming.</w:t>
      </w:r>
    </w:p>
    <w:p w:rsidR="00913BB3" w:rsidRPr="00493D64" w:rsidRDefault="00913BB3" w:rsidP="00913BB3">
      <w:pPr>
        <w:ind w:left="-540" w:right="-540"/>
        <w:jc w:val="both"/>
        <w:rPr>
          <w:rFonts w:ascii="Times New Roman" w:hAnsi="Times New Roman"/>
          <w:b/>
          <w:bCs/>
          <w:sz w:val="25"/>
          <w:szCs w:val="25"/>
          <w:u w:val="single"/>
        </w:rPr>
      </w:pPr>
    </w:p>
    <w:p w:rsidR="00913BB3" w:rsidRPr="00493D64" w:rsidRDefault="00B75283" w:rsidP="00913BB3">
      <w:pPr>
        <w:ind w:left="-540" w:right="-540"/>
        <w:jc w:val="both"/>
        <w:rPr>
          <w:rFonts w:ascii="Times New Roman" w:hAnsi="Times New Roman"/>
          <w:sz w:val="25"/>
          <w:szCs w:val="25"/>
        </w:rPr>
      </w:pPr>
      <w:r>
        <w:rPr>
          <w:rFonts w:ascii="Times New Roman" w:hAnsi="Times New Roman"/>
          <w:b/>
          <w:bCs/>
          <w:sz w:val="25"/>
          <w:szCs w:val="25"/>
          <w:u w:val="single"/>
        </w:rPr>
        <w:t>Allocation Summary</w:t>
      </w:r>
      <w:r w:rsidR="00913BB3" w:rsidRPr="00493D64">
        <w:rPr>
          <w:rFonts w:ascii="Times New Roman" w:hAnsi="Times New Roman"/>
          <w:b/>
          <w:bCs/>
          <w:sz w:val="25"/>
          <w:szCs w:val="25"/>
          <w:u w:val="single"/>
        </w:rPr>
        <w:t>:</w:t>
      </w:r>
      <w:r w:rsidR="00913BB3" w:rsidRPr="00493D64">
        <w:rPr>
          <w:rFonts w:ascii="Times New Roman" w:hAnsi="Times New Roman"/>
          <w:sz w:val="25"/>
          <w:szCs w:val="25"/>
        </w:rPr>
        <w:t xml:space="preserve">  </w:t>
      </w:r>
      <w:r>
        <w:rPr>
          <w:rFonts w:ascii="Times New Roman" w:hAnsi="Times New Roman"/>
          <w:sz w:val="25"/>
          <w:szCs w:val="25"/>
        </w:rPr>
        <w:t xml:space="preserve">This </w:t>
      </w:r>
      <w:r w:rsidR="00AC09DF">
        <w:rPr>
          <w:rFonts w:ascii="Times New Roman" w:hAnsi="Times New Roman"/>
          <w:sz w:val="25"/>
          <w:szCs w:val="25"/>
        </w:rPr>
        <w:t>schedule recaps the allocations by department and activity</w:t>
      </w:r>
      <w:r w:rsidR="00913BB3" w:rsidRPr="00493D64">
        <w:rPr>
          <w:rFonts w:ascii="Times New Roman" w:hAnsi="Times New Roman"/>
          <w:sz w:val="25"/>
          <w:szCs w:val="25"/>
        </w:rPr>
        <w:t>.</w:t>
      </w:r>
      <w:r w:rsidR="00AC09DF">
        <w:rPr>
          <w:rFonts w:ascii="Times New Roman" w:hAnsi="Times New Roman"/>
          <w:sz w:val="25"/>
          <w:szCs w:val="25"/>
        </w:rPr>
        <w:t xml:space="preserve">  The report lists the departments which have received allocations down the left, and the activity across the top.</w:t>
      </w:r>
      <w:r w:rsidR="00913BB3" w:rsidRPr="00493D64">
        <w:rPr>
          <w:rFonts w:ascii="Times New Roman" w:hAnsi="Times New Roman"/>
          <w:sz w:val="25"/>
          <w:szCs w:val="25"/>
        </w:rPr>
        <w:t xml:space="preserve">  </w:t>
      </w:r>
    </w:p>
    <w:p w:rsidR="00913BB3" w:rsidRPr="00493D64" w:rsidRDefault="00913BB3" w:rsidP="00913BB3">
      <w:pPr>
        <w:ind w:left="-540" w:right="-540"/>
        <w:jc w:val="both"/>
        <w:rPr>
          <w:rFonts w:ascii="Times New Roman" w:hAnsi="Times New Roman"/>
          <w:b/>
          <w:bCs/>
          <w:sz w:val="25"/>
          <w:szCs w:val="25"/>
          <w:u w:val="single"/>
        </w:rPr>
      </w:pPr>
    </w:p>
    <w:p w:rsidR="00913BB3" w:rsidRPr="00493D64" w:rsidRDefault="00913BB3" w:rsidP="00913BB3">
      <w:pPr>
        <w:ind w:left="-540" w:right="-540"/>
        <w:jc w:val="both"/>
        <w:rPr>
          <w:rFonts w:ascii="Times New Roman" w:hAnsi="Times New Roman"/>
          <w:sz w:val="25"/>
          <w:szCs w:val="25"/>
        </w:rPr>
      </w:pPr>
      <w:r w:rsidRPr="00493D64">
        <w:rPr>
          <w:rFonts w:ascii="Times New Roman" w:hAnsi="Times New Roman"/>
          <w:sz w:val="25"/>
          <w:szCs w:val="25"/>
        </w:rPr>
        <w:t xml:space="preserve">Please feel free to contact </w:t>
      </w:r>
      <w:r w:rsidR="004B66DD">
        <w:rPr>
          <w:rFonts w:ascii="Times New Roman" w:hAnsi="Times New Roman"/>
          <w:sz w:val="25"/>
          <w:szCs w:val="25"/>
        </w:rPr>
        <w:t>Jennifer Carlson</w:t>
      </w:r>
      <w:r w:rsidRPr="00493D64">
        <w:rPr>
          <w:rFonts w:ascii="Times New Roman" w:hAnsi="Times New Roman"/>
          <w:sz w:val="25"/>
          <w:szCs w:val="25"/>
        </w:rPr>
        <w:t xml:space="preserve"> should you have any questions or concerns regarding your cost plan.  </w:t>
      </w:r>
    </w:p>
    <w:p w:rsidR="00913BB3" w:rsidRDefault="00913BB3" w:rsidP="00913BB3">
      <w:pPr>
        <w:ind w:left="-540" w:right="-540"/>
        <w:jc w:val="both"/>
        <w:rPr>
          <w:rFonts w:ascii="Times New Roman" w:hAnsi="Times New Roman"/>
          <w:sz w:val="25"/>
          <w:szCs w:val="25"/>
        </w:rPr>
      </w:pPr>
    </w:p>
    <w:p w:rsidR="006A35A8" w:rsidRPr="00493D64" w:rsidRDefault="006A35A8" w:rsidP="00913BB3">
      <w:pPr>
        <w:ind w:left="-540" w:right="-540"/>
        <w:jc w:val="both"/>
        <w:rPr>
          <w:rFonts w:ascii="Times New Roman" w:hAnsi="Times New Roman"/>
          <w:sz w:val="25"/>
          <w:szCs w:val="25"/>
        </w:rPr>
      </w:pPr>
    </w:p>
    <w:p w:rsidR="009016A0" w:rsidRDefault="00435740" w:rsidP="006A35A8">
      <w:pPr>
        <w:ind w:left="-540" w:right="-540"/>
        <w:jc w:val="both"/>
        <w:rPr>
          <w:rFonts w:ascii="Times New Roman" w:hAnsi="Times New Roman"/>
          <w:sz w:val="25"/>
          <w:szCs w:val="25"/>
        </w:rPr>
      </w:pPr>
      <w:r w:rsidRPr="00493D64">
        <w:rPr>
          <w:rFonts w:ascii="Times New Roman" w:hAnsi="Times New Roman"/>
          <w:sz w:val="25"/>
          <w:szCs w:val="25"/>
        </w:rPr>
        <w:t>Thank y</w:t>
      </w:r>
      <w:r w:rsidR="00C02D57">
        <w:rPr>
          <w:rFonts w:ascii="Times New Roman" w:hAnsi="Times New Roman"/>
          <w:sz w:val="25"/>
          <w:szCs w:val="25"/>
        </w:rPr>
        <w:t>o</w:t>
      </w:r>
      <w:r w:rsidR="006A35A8">
        <w:rPr>
          <w:rFonts w:ascii="Times New Roman" w:hAnsi="Times New Roman"/>
          <w:sz w:val="25"/>
          <w:szCs w:val="25"/>
        </w:rPr>
        <w:t>u,</w:t>
      </w:r>
    </w:p>
    <w:p w:rsidR="006A35A8" w:rsidRDefault="006A35A8" w:rsidP="006A35A8">
      <w:pPr>
        <w:ind w:left="-540" w:right="-540"/>
        <w:jc w:val="both"/>
        <w:rPr>
          <w:rFonts w:ascii="Times New Roman" w:hAnsi="Times New Roman"/>
          <w:sz w:val="25"/>
          <w:szCs w:val="25"/>
        </w:rPr>
      </w:pPr>
    </w:p>
    <w:p w:rsidR="006C548B" w:rsidRDefault="006C548B" w:rsidP="006A35A8">
      <w:pPr>
        <w:ind w:left="-540" w:right="-540"/>
        <w:jc w:val="both"/>
        <w:rPr>
          <w:rFonts w:ascii="Times New Roman" w:hAnsi="Times New Roman"/>
          <w:sz w:val="25"/>
          <w:szCs w:val="25"/>
        </w:rPr>
      </w:pPr>
      <w:r w:rsidRPr="006C548B">
        <w:rPr>
          <w:rFonts w:ascii="Times New Roman" w:hAnsi="Times New Roman"/>
          <w:sz w:val="25"/>
          <w:szCs w:val="25"/>
        </w:rPr>
        <w:drawing>
          <wp:inline distT="0" distB="0" distL="0" distR="0" wp14:anchorId="708AE617" wp14:editId="0D9102AD">
            <wp:extent cx="1287780" cy="22425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6028" cy="243108"/>
                    </a:xfrm>
                    <a:prstGeom prst="rect">
                      <a:avLst/>
                    </a:prstGeom>
                  </pic:spPr>
                </pic:pic>
              </a:graphicData>
            </a:graphic>
          </wp:inline>
        </w:drawing>
      </w:r>
    </w:p>
    <w:p w:rsidR="006A35A8" w:rsidRDefault="006A35A8" w:rsidP="006A35A8">
      <w:pPr>
        <w:ind w:left="-540" w:right="-540"/>
        <w:jc w:val="both"/>
        <w:rPr>
          <w:rFonts w:ascii="Times New Roman" w:hAnsi="Times New Roman"/>
          <w:sz w:val="25"/>
          <w:szCs w:val="25"/>
        </w:rPr>
      </w:pPr>
    </w:p>
    <w:p w:rsidR="006C548B" w:rsidRDefault="006C548B" w:rsidP="00F76220">
      <w:pPr>
        <w:ind w:left="-540" w:right="-540"/>
        <w:jc w:val="both"/>
        <w:rPr>
          <w:rFonts w:ascii="Times New Roman" w:hAnsi="Times New Roman"/>
          <w:sz w:val="25"/>
          <w:szCs w:val="25"/>
        </w:rPr>
      </w:pPr>
      <w:r>
        <w:rPr>
          <w:rFonts w:ascii="Times New Roman" w:hAnsi="Times New Roman"/>
          <w:sz w:val="25"/>
          <w:szCs w:val="25"/>
        </w:rPr>
        <w:t>Monica Steele</w:t>
      </w:r>
    </w:p>
    <w:p w:rsidR="002350EB" w:rsidRPr="00F76220" w:rsidRDefault="006C548B" w:rsidP="00F76220">
      <w:pPr>
        <w:ind w:left="-540" w:right="-540"/>
        <w:jc w:val="both"/>
        <w:rPr>
          <w:rFonts w:ascii="Times New Roman" w:hAnsi="Times New Roman"/>
          <w:sz w:val="25"/>
          <w:szCs w:val="25"/>
        </w:rPr>
      </w:pPr>
      <w:r>
        <w:rPr>
          <w:rFonts w:ascii="Times New Roman" w:hAnsi="Times New Roman"/>
          <w:sz w:val="25"/>
          <w:szCs w:val="25"/>
        </w:rPr>
        <w:t>Assistant County Manager</w:t>
      </w:r>
      <w:r w:rsidR="006A35A8">
        <w:rPr>
          <w:rFonts w:ascii="Times New Roman" w:hAnsi="Times New Roman"/>
          <w:sz w:val="25"/>
          <w:szCs w:val="25"/>
        </w:rPr>
        <w:t xml:space="preserve"> </w:t>
      </w:r>
    </w:p>
    <w:sectPr w:rsidR="002350EB" w:rsidRPr="00F76220" w:rsidSect="00493D64">
      <w:footerReference w:type="even" r:id="rId9"/>
      <w:footerReference w:type="default" r:id="rId10"/>
      <w:footerReference w:type="first" r:id="rId11"/>
      <w:pgSz w:w="12240" w:h="15840" w:code="1"/>
      <w:pgMar w:top="1440" w:right="1440" w:bottom="1440"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EE1" w:rsidRDefault="00200EE1">
      <w:r>
        <w:separator/>
      </w:r>
    </w:p>
  </w:endnote>
  <w:endnote w:type="continuationSeparator" w:id="0">
    <w:p w:rsidR="00200EE1" w:rsidRDefault="002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83" w:rsidRDefault="00BB1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1C83" w:rsidRDefault="00BB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76258"/>
      <w:docPartObj>
        <w:docPartGallery w:val="Page Numbers (Top of Page)"/>
        <w:docPartUnique/>
      </w:docPartObj>
    </w:sdtPr>
    <w:sdtEndPr/>
    <w:sdtContent>
      <w:p w:rsidR="00C02D57" w:rsidRDefault="00C02D57" w:rsidP="00C02D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rsidR="00C02D57" w:rsidRDefault="00C02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6666"/>
      <w:docPartObj>
        <w:docPartGallery w:val="Page Numbers (Bottom of Page)"/>
        <w:docPartUnique/>
      </w:docPartObj>
    </w:sdtPr>
    <w:sdtEndPr/>
    <w:sdtContent>
      <w:sdt>
        <w:sdtPr>
          <w:id w:val="98381352"/>
          <w:docPartObj>
            <w:docPartGallery w:val="Page Numbers (Top of Page)"/>
            <w:docPartUnique/>
          </w:docPartObj>
        </w:sdtPr>
        <w:sdtEndPr/>
        <w:sdtContent>
          <w:p w:rsidR="00F45FA3" w:rsidRDefault="00F45F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46A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A2E">
              <w:rPr>
                <w:b/>
                <w:bCs/>
                <w:noProof/>
              </w:rPr>
              <w:t>2</w:t>
            </w:r>
            <w:r>
              <w:rPr>
                <w:b/>
                <w:bCs/>
                <w:sz w:val="24"/>
                <w:szCs w:val="24"/>
              </w:rPr>
              <w:fldChar w:fldCharType="end"/>
            </w:r>
          </w:p>
        </w:sdtContent>
      </w:sdt>
    </w:sdtContent>
  </w:sdt>
  <w:p w:rsidR="00BB1C83" w:rsidRDefault="00BB1C8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EE1" w:rsidRDefault="00200EE1">
      <w:r>
        <w:separator/>
      </w:r>
    </w:p>
  </w:footnote>
  <w:footnote w:type="continuationSeparator" w:id="0">
    <w:p w:rsidR="00200EE1" w:rsidRDefault="0020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6A5D"/>
    <w:multiLevelType w:val="hybridMultilevel"/>
    <w:tmpl w:val="899C8D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E1"/>
    <w:rsid w:val="00046A2E"/>
    <w:rsid w:val="000E7E1F"/>
    <w:rsid w:val="00105229"/>
    <w:rsid w:val="00130FC1"/>
    <w:rsid w:val="00133131"/>
    <w:rsid w:val="00142103"/>
    <w:rsid w:val="00160BF1"/>
    <w:rsid w:val="001B5906"/>
    <w:rsid w:val="001E0881"/>
    <w:rsid w:val="00200EE1"/>
    <w:rsid w:val="0020105A"/>
    <w:rsid w:val="002222B6"/>
    <w:rsid w:val="002350EB"/>
    <w:rsid w:val="00290E25"/>
    <w:rsid w:val="002C6E64"/>
    <w:rsid w:val="003009A3"/>
    <w:rsid w:val="003A1F72"/>
    <w:rsid w:val="003F2019"/>
    <w:rsid w:val="00435740"/>
    <w:rsid w:val="0048336E"/>
    <w:rsid w:val="00493D64"/>
    <w:rsid w:val="004B66DD"/>
    <w:rsid w:val="005158E1"/>
    <w:rsid w:val="005168EC"/>
    <w:rsid w:val="00587C21"/>
    <w:rsid w:val="0060605C"/>
    <w:rsid w:val="00642657"/>
    <w:rsid w:val="00676372"/>
    <w:rsid w:val="006A35A8"/>
    <w:rsid w:val="006B769B"/>
    <w:rsid w:val="006C548B"/>
    <w:rsid w:val="0073223D"/>
    <w:rsid w:val="00733FE4"/>
    <w:rsid w:val="00787568"/>
    <w:rsid w:val="00796294"/>
    <w:rsid w:val="007C53E7"/>
    <w:rsid w:val="007F45DC"/>
    <w:rsid w:val="008113E9"/>
    <w:rsid w:val="008863F7"/>
    <w:rsid w:val="008A3E5B"/>
    <w:rsid w:val="008B6C6C"/>
    <w:rsid w:val="008E4364"/>
    <w:rsid w:val="009016A0"/>
    <w:rsid w:val="00913BB3"/>
    <w:rsid w:val="009176B1"/>
    <w:rsid w:val="009426FA"/>
    <w:rsid w:val="00953C99"/>
    <w:rsid w:val="00955D29"/>
    <w:rsid w:val="00A53FB6"/>
    <w:rsid w:val="00A83F15"/>
    <w:rsid w:val="00A95B88"/>
    <w:rsid w:val="00AB3780"/>
    <w:rsid w:val="00AC09DF"/>
    <w:rsid w:val="00AC410A"/>
    <w:rsid w:val="00AF59E1"/>
    <w:rsid w:val="00B17559"/>
    <w:rsid w:val="00B43D7C"/>
    <w:rsid w:val="00B57B42"/>
    <w:rsid w:val="00B75283"/>
    <w:rsid w:val="00BB1C83"/>
    <w:rsid w:val="00BB4780"/>
    <w:rsid w:val="00BC2213"/>
    <w:rsid w:val="00BC359D"/>
    <w:rsid w:val="00C02D57"/>
    <w:rsid w:val="00C92773"/>
    <w:rsid w:val="00CE6B58"/>
    <w:rsid w:val="00D423A6"/>
    <w:rsid w:val="00D7153F"/>
    <w:rsid w:val="00D77789"/>
    <w:rsid w:val="00DB17BF"/>
    <w:rsid w:val="00E157CB"/>
    <w:rsid w:val="00E6330E"/>
    <w:rsid w:val="00E7792E"/>
    <w:rsid w:val="00F16864"/>
    <w:rsid w:val="00F45FA3"/>
    <w:rsid w:val="00F73472"/>
    <w:rsid w:val="00F7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2CF2D"/>
  <w15:docId w15:val="{177BF5D7-2E18-47AE-8C18-572671BD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ind w:right="-240" w:firstLine="0"/>
      <w:jc w:val="center"/>
    </w:pPr>
    <w:rPr>
      <w:kern w:val="18"/>
    </w:rPr>
  </w:style>
  <w:style w:type="paragraph" w:styleId="Header">
    <w:name w:val="header"/>
    <w:basedOn w:val="HeaderBase"/>
    <w:semiHidden/>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NoSpacing">
    <w:name w:val="No Spacing"/>
    <w:uiPriority w:val="1"/>
    <w:qFormat/>
    <w:rsid w:val="00B43D7C"/>
    <w:rPr>
      <w:rFonts w:ascii="Cambria" w:hAnsi="Cambria"/>
      <w:sz w:val="24"/>
    </w:rPr>
  </w:style>
  <w:style w:type="paragraph" w:styleId="BlockText">
    <w:name w:val="Block Text"/>
    <w:basedOn w:val="Normal"/>
    <w:semiHidden/>
    <w:rsid w:val="00913BB3"/>
    <w:pPr>
      <w:widowControl w:val="0"/>
      <w:autoSpaceDE w:val="0"/>
      <w:autoSpaceDN w:val="0"/>
      <w:adjustRightInd w:val="0"/>
      <w:ind w:left="-540" w:right="-540"/>
    </w:pPr>
    <w:rPr>
      <w:rFonts w:ascii="Times New Roman" w:hAnsi="Times New Roman"/>
      <w:sz w:val="24"/>
      <w:szCs w:val="24"/>
    </w:rPr>
  </w:style>
  <w:style w:type="character" w:customStyle="1" w:styleId="FooterChar">
    <w:name w:val="Footer Char"/>
    <w:basedOn w:val="DefaultParagraphFont"/>
    <w:link w:val="Footer"/>
    <w:uiPriority w:val="99"/>
    <w:rsid w:val="00493D64"/>
    <w:rPr>
      <w:rFonts w:ascii="Garamond" w:hAnsi="Garamond"/>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564</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3703</CharactersWithSpaces>
  <SharedDoc>false</SharedDoc>
  <HLinks>
    <vt:vector size="6" baseType="variant">
      <vt:variant>
        <vt:i4>7340050</vt:i4>
      </vt:variant>
      <vt:variant>
        <vt:i4>-1</vt:i4>
      </vt:variant>
      <vt:variant>
        <vt:i4>1026</vt:i4>
      </vt:variant>
      <vt:variant>
        <vt:i4>1</vt:i4>
      </vt:variant>
      <vt:variant>
        <vt:lpwstr>W:\ALL\Logo\cclogo300.bmp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Sandy Meshke</dc:creator>
  <cp:lastModifiedBy>Monica Steele</cp:lastModifiedBy>
  <cp:revision>4</cp:revision>
  <cp:lastPrinted>2023-01-17T22:01:00Z</cp:lastPrinted>
  <dcterms:created xsi:type="dcterms:W3CDTF">2022-10-21T23:26:00Z</dcterms:created>
  <dcterms:modified xsi:type="dcterms:W3CDTF">2023-01-17T22:01:00Z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